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58d6" w14:textId="9a458d6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76. став 14. Закона о основама система образовања и васпитања („Службени гласник РС”, бр. 88/17 и 27/18 – др. закон),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просвете, науке и технолошког развоја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ближим упутствима за утврђивање права на индивидуални образовни план, његову примену и вредновање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74 од 5. октобра 2018.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Правилника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прописују се ближа упутства за остваривање права на индивидуални образовни план (у даљем тексту: ИОП), његову примену и вредновање у предшколској установи, основној и средњој школи, (у даљем тексту: установа) коjи има за циљ оптимални развоj детета, ученика и одраслог и његово напредовање и осамостаљивање у вршњачком колективу.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Термини изражени у овом правилнику у граматичком мушком роду подразумевају природни мушки и женски род лица на које се односе.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Право на индивидуални образовни план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Право на ИОП има дете, ученик и одрасли коме је потребна додатна подршка због тешкоћа у приступању, укључивању и учествовању у образовању и васпитању, ако те тешкоће утичу на негову добробит, односно остваривање исхода образовања и васпитања или представљају ризик од раног напуштања школовања, и односе се на дете, ученика или одраслог који: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има тешкоће у учењу (због специфичних сметњи у учењу или проблема у понашању и емоционалном развоју);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има сметње у развоју или инвалидитет (телесне, моторичке, чулне, интелектуалне или сметње из спектра аутизма);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потиче, односно живи у социјално нестимулативној средини (социјално, економски, културно, језички сиромашној средини или дуготрајно борави у здравственој, односно социјалној установи);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из других разлога остварује право на подршку у образовању.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Право на прилагођен начин образовања по ИОП-у у смислу проширивања и продубљивања садржаја учења има и ученик са изузетним способностима који стиче основно и средње образовање и васпитање.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Прикупљање података и формирање документације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Васпитач, наставник, односно стручни сарадник прати развој и процес учења детета, ученика, односно одраслог кроз области: вештине за учење, социјалне и комуникацијске вештине, самосталност и брига о себи.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у поступку праћења васпитач, наставник или стручни сарадник, утврди да постоје физичке, комуникацијске или социјалне препреке које неповољно утичу на добробит и развој детета, ученика, односно одраслог и на очекиване исходе образовања и васпитања, приступа се прикупљању података ради формирања документације у сврху пружања одговарајуће подршке у образовању и васпитању.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Васпитач, наставник, односно стручни сарадник, поред података из става 2. овог члана прикупља податке из различитих извора: од родитеља, односно другог законског заступника (у даљем тексту: родитељ), стручњака ван образовне установе који добро познаје дете, ученика, односно одраслог, од вршњака и самог детета, ученика, односно одраслог, при чему се користе различити инструменти и технике (систематско посматрање активности детета, ученика, односно одраслог у различитим ситуацијама, разговор, тестирање, интервју и упитник за ученика и друге који познају дете, односно ученика. Медицински налази су, по потреби, саставни део документације.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прикупљених података и документације из ст. 2 и 3. овог члана, стручни сарадник координира израду и у сарадњи са васпитачем, односно наставником и родитељем израђује педагошки профил детета, ученика, односно одраслог (у даљем тексту: педагошки профил).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Педагошки профил садржи опис образовне ситуације детета, ученика, односно одраслог и основ је за планирање стратегија васпитача за подршку добробити детету, односно индивидуализованог начина рада са учеником, односно одраслим.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Мере индивидуализације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педагошког профила у којем су утврђена подручја у којима је потребна додатна подршка, васпитач, наставник и стручни сарадник планирају мере за отклањање физичких, комуникацијских и социјалних препрека (у даљем тексту: мере индивидуализације).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Мере индивидуализације остварују се путем: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разумног прилагођавања простора и услова у којима се одвија активност у предшколској установи, односно настава у школи (отклањање физичких баријера, осмишљавање додатних и посебних облика активности, израде посебног распореда активности итд.);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прилагођавања метода рада, наставних средстава и дидактичког материјала, начина давања инструкције и задавања задатака, праћења напредовања, начина усвајања садржаја, провере знања, организације ситуација учења, постављања правила понашања и комуникације и др.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измена садржаја активности у васпитној групи, односно садржаја учења и исхода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Мере индивидуализације спроводе се током процеса образовања и васпитања, као саставни део образовно-васпитног рада васпитача, односно наставника, о чему се води педагошка документација.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Планиране мере индивидуализације у установи, уписују се у Образац 3.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Предлог за утврђивање права на ИОП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Предлог за утврђивање права на ИОП директору установе подноси тим за инклузивно образовање, на основу процене коју даје васпитач, наставник, стручни сарадник или родитељ, након што су претходно примењиване, евидентиране и вредноване мере индивидуализације.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Предлог из став 1. овог члана садржи наводе и образложене разлоге за подношење предлога за утврђивање права на ИОП, као и доказе о претходно примењеним мерама индивидуализације.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Установа писменим путем обавештава родитеља да је поднет предлог за утврђивање права на ИОП.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Родитељ својим потписом потврђује да је упознат са поднетим предлогом за утврђивање права на ИОП, разлозима за његово подношење и да је сагласан да се приступи изради ИОП-а.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Сагласност родитеља из става 4. овог члана даје се на Обрасцу 6.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Садржај ИОП-а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ИОП је посебан акт установе којим се планира додатна подршка у образовању и васпитању детета, ученика, односно одраслог ако мере индивидуализације нису довеле до остваривања добробити детета, односно остваривања исхода образовања и васпитања или до задовољавања образовних потреба ученика са изузетним способностима.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ИОП садржи: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податке о детету, ученику односно одраслом и податке о тиму за додатну подршку (Образац 1);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педагошки профил детета, ученика, односно одраслог (Образац 2);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план мера индивидуализације (Образац 3);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персонализовани програм наставе и учења (Образац 4);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податке о праћењу и вредновању ИОП-а (Образац 5);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сагласност родитеља (Образац 6).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ИОП може да садржи 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план транзиције – план подршке детету и ученику при укључивању у образовање, при преласку на други ниво образовања или при преласку у другу образовну установу; (Образац 7);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план превенције раног напуштања образовања за децу и ученике у ризику од раног напуштања школе (Образац 8).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Персонализовани програм наставе и учења из става 2. тачка 4) овог члана доноси се за област у оквиру наставног предмета, један наставни предмет, групу наставних предмета или све наставне предмете за разред који ученик, односно одрасли похађа, као и за ваннаставне активности.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ученика са изузетним способностима школа доноси прилагођен и обогаћен ИОП, сходно ставу 1.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Садржај ИОП-а који се остварује у школи дат је на Обрасцу 1, Обрасцу 2, Обрасцу 3, Обрасцу 4, Обрасцу 5, Обрасцу 6, Обрасцу 7 и Обрасцу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Садржај ИОП-а који се оствaрује у предшколској установи дат је на Обрасцу 1, Обрасцу 2, Обрасцу 3, Обрасцу 5, Обрасцу 6 и Обрасцу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1, Образац 2, Образац 3, Образац 4, Образац 5, Образац 6, Образац 7 и Образац 8 одштампани су уз овај правилник и чине његов саставни део.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Један примерак ИОП-а се доставља родитељу и члановима тима. Појединачни обрасци се, по потреби, достављају свим лицима која су задужена за реализацију у ИОП-у.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 ИОП-а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ИОП се израђује према образовним потребама детета, ученика, односно одраслог и може да буде: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ИОП1 – прилагођени програм наставе и учења у коме се планира циљ пружања подршке, прилагођавање и обогаћивање простора и услова у којима се учи, прилагођавање метода рада, уџбеника и наставних средстава током образовно-васпитног процеса, односно активности у васпитној групи, њихов распоред као и лица која пружају подршку;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ИОП2 – измењени програм наставе и учења у којем се, осим садржаја из става 1. тачкa 1) овог члана, планира прилагођавање исхода образовања и васпитања и прилагођавање садржаја за један, више или за све предмете;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ИОП3 – проширен и продубљен програм наставе и учења који се примењује за ученике са изузетним способностима.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Предшколска установа доноси ИОП1, а основна и средња школа ИОП1, ИОП2 и ИОП3.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Израда и доношење ИОП-а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Тим за инклузивно образовање, после донете одлуке о прихватању предлога за утврђивање права на ИОП, директору установе предлаже чланове тима за пружање додатне подршке детету, ученику, односно одраслом (у даљем тексту: Тим).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установе, после добијене писмене сагласности родитеља, односно одраслог, именује Тим.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Тим у предшколској установи чине: васпитач, стручни сарадник, сарадник у предшколској установи, родитељ, а у складу са потребама детета и педагошки асистент и лични пратилац детета. На предлог родитеља, члан Тима може бити и стручњак ван установе који добро познаје дете.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Тим у школи чине: наставник разредне наставе, односно одељенски старешина, предметни наставник, стручни сарадник, родитељ, а у складу са потребама детета и педагошки асистент, односно лични пратилац детета. На предлог родитеља, односно одраслог, члан Тима може бити и стручњак ван установе који добро познаје ученика, односно одраслог.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ИОП израђује Тим на који сагласност даје родитељ, односно други законски заступник.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Доношењу ИОП2 претходи доношење, примена и вредновање ИОП1, сагласност родитеља за прелазак на ИОП2 уз обавезно прибављање мишљења интерресорне комисије за процену потреба за додатном образовном, здравственом и социјалном подршком.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родитељ неоправдано одбиjе учешће у изради или давању сагласности на ИОП, установа jе дужна да о томе обавести надлежну установу социjалне заштите у циљу заштите наjбољег интереса детета, односно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ИОП доноси педагошки колегијум на предлог тима за инклузивно образовање.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Примена ИОП-а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ИОП се остварује у оквиру заједничких активности у групи предшколске установе, односно у одељењу школе. Васпитач, односно наставник при планирању свог рада у групи, односно одељењу, укључује мере и активности предвиђене ИОП-ом.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остваривању ИОП-а у установи активно учествују сви чланови Тима и сви други који непосредно раде са дететом, учеником, односно одраслим.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примена ИОП-а захтева финансијска средства, установа упућује писмени захтев интерресорној комисији за процену потреба за додатном образовном, здравственом и социјалном подршком детету или ученику.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 ученика који се образују по ИОП-у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образује по ИОП-у оцењује се на начин и према исходима планираним ИОП-ом, а у складу са посебним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Завршни испит, пријемни испит и матурски испит ученик полаже у складу са законом којим се уређују основе система образовања и васпитања, уз неопходна прилагођавања која предлаже и образлаже тим, а у складу са ИОП-ом.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Покретање васпитно-дисциплинског поступка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Када се васпитно-дисциплински поступак покреће за ученика који се образује по ИОП-у, тим за инклузивно образовање и тим за заштиту од дискриминације, насиља, злостављања и занемаривања заједно анализирају да ли је школа спровела мере које су предвиђене ИОП-ом. Овом анализом се утврђује ефекат планираних и предузетих мера и, по потреби, уводе нове мере подршке и мењају стратегије рада са учеником.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ученика који се образује по ИОП-у, тим за заштиту од дискриминације, насиља, злостављања и занемаривања у сарадњи са тимом за инклузивно образовање сачињава план појачаног васпитног рада, односно план заштите уколико ученик трпи насиље. Том приликом води се рачуна о областима из педагошког профила ученика у којима је ученику потребна подршка.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Кретање кроз образовни систем детета, ученика и одраслог који остварују додатну подршку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свако дете, ученика и одраслог који остварује право на додатну подршку, установа планира и спроведи посебне мере за припрему детета, ученика и одраслог за прелазак у нови циклус, односно ниво образовања, или прелазак у другу установу, као и мере за припрему образовне установе у коју се укључује дете, ученик и одрасли.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Хоризонтална и вертикална проходност подразумева несметано кретање детета, ученика и одраслог кроз систем: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укључивање у образовну установу;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прелазак са једног нивоа образовања на други;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прелазак из установе у установу;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прелазак из развојне групе у васпитну групу у предшколском васпитању и образовању, односно из одељења за децу са сметњама у развоју у редовно одељење;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завршетак школовања и припреме за самостални живот у заједници.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циљу припреме установе и остваривања континуитета подршке коју добија дете, ученик и одрасли, Тим установе коју похађа дете, ученик, односно одрасли jе у обавези да најмање три месеца пре преласка детета, ученика, односно одраслог успостави сарадњу са Тимом установе у којој дете, ученик, односно одрасли наставља да стиче образовање. Сарадња установе траје најмање још три месеца од тренутка укључивања у другу образовну установу.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 транзиције (Образац 7) је саставни део ИОП-а. За спровођење плана транзиције потребна је писана сагласност родитеља.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Вредновање и измена ИОП-а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Вредновање ИОП-а врши се ради процене остварености циљева и исхода утврђених ИОП-ом.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Вредновање ИОП-а унутар установе врши Тим према унапред утврђеној динамици у ИОП-у и према насталој потреби, у првој години уписа тромесечно, а у свим наредним годинама на почетку сваког полугодишта, односно радне године. Вредновање ИОП-а се заснива на анализи које мере подршке су биле делотворне и које планиране исходе је достигло дете, ученик, односно одрасли.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вредновања ИОП-а, Тим процењује да ли је за ученика даље потребно: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ревидирати постојећи ИОП;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писати нови ИОП;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укинути ИОП и израдити План мера индивидуализације.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резултата вредновања ИОП-а Тим допуњује педагошки профил у складу са актуелном образовном ситуацијом и израђује предлог измена и допуна ИОП-а. Измена ИОП-а врши се у складу са развојем детета, односно напредовањем ученика и одраслог: ако постигне планиране исходе пре очекиваног рока или не постиже очекиване исходе, односно у другим случајевима када настану промене у понашању и/или у окружењу.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вредновања се достављају тиму за инклузивно образовање и педагошком колегијуму.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Спољашње вредновање ИОП-а врши просветни саветник, односно саветник спољни сарадник у току стручно-педагошког надзора. У оквиру вршења стручно-педагошког надзора утврђује се испуњеност услова у поступку доношења ИОП-а, вреднује се садржај и примена ИОП-а.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о резултатима вредновања ИОП-а саставни су део документације ИОП и воде се на Обрасцу број 5.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Наставак спровођења, односно престанак потребе за ИОП-ом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вредновања, уз сагласност тима за инклузивно образовање, педагошки колегијум доноси одлуку о даљој примени, изменама и допунама ИОП-а или престанку потребе за ИОП-ом, на предлог тима.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Одлука о наставку спровођења ИОП-а доноси се ако се утврди да планиране активности одговарају потребама детета, ученика, односно одраслог или да се резултати могу очекивати након одређеног периода рада. Време спровођења ИОП-а може се продужити, уз сагласност родитеља, односно сагласност одраслог.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Одлука о престанку потребе за ИОП-ом доноси се ако се утврди да се даљи напредак детета, ученика, односно одраслог може остваривати применом мера индивидуализације, уз претходно прибављено мишљење ученика, односно одраслог, у складу са годинама и зрелошћу.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Одлука из става 3. овог члана доноси се уз сагласност родитеља, односно другог законског заступника детета или ученика, односно сагласност одраслог.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Право на заштиту података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прикупљени од стране тима ради израде ИОП-а морају бити заштићени од злоупотребе и не смеју се користити у друге сврхе без сагласности лица чија је сагласност неопходна за спровођење ИОП-а.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Установа је дужна да обезбеди заштиту података о детету, ученику, односно одраслом.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и документација ИОП-а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о остваривању образовања и васпитања по ИОП-у води се у прописаној евиденцији о васпитно-образовном раду у предшколској установи и образовно-васпитном раду у школи,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Документација која прати ИОП саставни је део педагошке документације коју води предшколска установа, односно школа. За дете, ученика, односно одраслог који се образује по ИОП-у обавезни део педагошке документације чини и портфолио.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Ступањем на снагу овог правилника престаје да важи Правилник о ближим упутствима за утврђивање права на индивидуални образовни план, његову примену и вредновање („Службени гласник РС”, број 76/10).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110-00-602/2018-04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18. септембра 2018.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Младен Шарчевић,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p>
      <w:pPr>
        <w:spacing w:after="12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Прилози</w:t>
      </w:r>
    </w:p>
    <w:p>
      <w:pPr>
        <w:spacing w:after="150"/>
        <w:ind w:left="0"/>
        <w:jc w:val="left"/>
      </w:pPr>
      <w:hyperlink r:id="rId4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1 - Лучни подаци и подаци о тиму за подршку</w:t>
        </w:r>
      </w:hyperlink>
    </w:p>
    <w:p>
      <w:pPr>
        <w:spacing w:after="150"/>
        <w:ind w:left="0"/>
        <w:jc w:val="left"/>
      </w:pPr>
      <w:hyperlink r:id="rId5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2 - Педагошки профил</w:t>
        </w:r>
      </w:hyperlink>
    </w:p>
    <w:p>
      <w:pPr>
        <w:spacing w:after="150"/>
        <w:ind w:left="0"/>
        <w:jc w:val="left"/>
      </w:pPr>
      <w:hyperlink r:id="rId6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3 - План мера индивидуализације</w:t>
        </w:r>
      </w:hyperlink>
    </w:p>
    <w:p>
      <w:pPr>
        <w:spacing w:after="150"/>
        <w:ind w:left="0"/>
        <w:jc w:val="left"/>
      </w:pPr>
      <w:hyperlink r:id="rId7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4 - Персонализовани програм наставе и учења</w:t>
        </w:r>
      </w:hyperlink>
    </w:p>
    <w:p>
      <w:pPr>
        <w:spacing w:after="150"/>
        <w:ind w:left="0"/>
        <w:jc w:val="left"/>
      </w:pPr>
      <w:hyperlink r:id="rId8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5 - Праћење и вредновању ИОП-а</w:t>
        </w:r>
      </w:hyperlink>
    </w:p>
    <w:p>
      <w:pPr>
        <w:spacing w:after="150"/>
        <w:ind w:left="0"/>
        <w:jc w:val="left"/>
      </w:pPr>
      <w:hyperlink r:id="rId9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6 - Сагласност родитеља, односно старатеља на ИОП</w:t>
        </w:r>
      </w:hyperlink>
    </w:p>
    <w:p>
      <w:pPr>
        <w:spacing w:after="150"/>
        <w:ind w:left="0"/>
        <w:jc w:val="left"/>
      </w:pPr>
      <w:hyperlink r:id="rId10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7 - План транзиције</w:t>
        </w:r>
      </w:hyperlink>
    </w:p>
    <w:p>
      <w:pPr>
        <w:spacing w:after="150"/>
        <w:ind w:left="0"/>
        <w:jc w:val="left"/>
      </w:pPr>
      <w:hyperlink r:id="rId11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Образац 8 - План превенције раног напуштања школе</w:t>
        </w:r>
      </w:hyperlink>
    </w:p>
    <w:p>
      <w:pPr>
        <w:spacing w:after="150"/>
        <w:ind w:left="0"/>
        <w:jc w:val="left"/>
      </w:pPr>
      <w:hyperlink r:id="rId12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Мере подршке за ученике под ризиком од раног напуштања образовања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Mode="External" Target="http://www.pravno-informacioni-sistem.rs/SlGlasnikPortal/prilozi/1.html&amp;doctype=reg&amp;x-filename=true&amp;regactid=426763" Type="http://schemas.openxmlformats.org/officeDocument/2006/relationships/hyperlink" Id="rId4"/><Relationship TargetMode="External" Target="http://www.pravno-informacioni-sistem.rs/SlGlasnikPortal/prilozi/2.html&amp;doctype=reg&amp;x-filename=true&amp;regactid=426763" Type="http://schemas.openxmlformats.org/officeDocument/2006/relationships/hyperlink" Id="rId5"/><Relationship TargetMode="External" Target="http://www.pravno-informacioni-sistem.rs/SlGlasnikPortal/prilozi/3.html&amp;doctype=reg&amp;x-filename=true&amp;regactid=426763" Type="http://schemas.openxmlformats.org/officeDocument/2006/relationships/hyperlink" Id="rId6"/><Relationship TargetMode="External" Target="http://www.pravno-informacioni-sistem.rs/SlGlasnikPortal/prilozi/4.html&amp;doctype=reg&amp;x-filename=true&amp;regactid=426763" Type="http://schemas.openxmlformats.org/officeDocument/2006/relationships/hyperlink" Id="rId7"/><Relationship TargetMode="External" Target="http://www.pravno-informacioni-sistem.rs/SlGlasnikPortal/prilozi/5.html&amp;doctype=reg&amp;x-filename=true&amp;regactid=426763" Type="http://schemas.openxmlformats.org/officeDocument/2006/relationships/hyperlink" Id="rId8"/><Relationship TargetMode="External" Target="http://www.pravno-informacioni-sistem.rs/SlGlasnikPortal/prilozi/6.html&amp;doctype=reg&amp;x-filename=true&amp;regactid=426763" Type="http://schemas.openxmlformats.org/officeDocument/2006/relationships/hyperlink" Id="rId9"/><Relationship TargetMode="External" Target="http://www.pravno-informacioni-sistem.rs/SlGlasnikPortal/prilozi/7.html&amp;doctype=reg&amp;x-filename=true&amp;regactid=426763" Type="http://schemas.openxmlformats.org/officeDocument/2006/relationships/hyperlink" Id="rId10"/><Relationship TargetMode="External" Target="http://www.pravno-informacioni-sistem.rs/SlGlasnikPortal/prilozi/8.html&amp;doctype=reg&amp;x-filename=true&amp;regactid=426763" Type="http://schemas.openxmlformats.org/officeDocument/2006/relationships/hyperlink" Id="rId11"/><Relationship TargetMode="External" Target="http://www.pravno-informacioni-sistem.rs/SlGlasnikPortal/prilozi/9.html&amp;doctype=reg&amp;x-filename=true&amp;regactid=426763" Type="http://schemas.openxmlformats.org/officeDocument/2006/relationships/hyperlink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